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ED802" w14:textId="77777777" w:rsidR="004106EA" w:rsidRDefault="00000000">
      <w:pPr>
        <w:widowControl/>
        <w:jc w:val="left"/>
        <w:rPr>
          <w:rFonts w:ascii="Times New Roman" w:eastAsia="Helvetica" w:hAnsi="Times New Roman" w:cs="Times New Roman"/>
          <w:bCs/>
          <w:color w:val="000000"/>
          <w:kern w:val="0"/>
          <w:sz w:val="24"/>
          <w:lang w:bidi="ar"/>
        </w:rPr>
      </w:pPr>
      <w:r>
        <w:rPr>
          <w:rFonts w:ascii="Times New Roman" w:eastAsia="Helvetica" w:hAnsi="Times New Roman" w:cs="Times New Roman"/>
          <w:b/>
          <w:color w:val="000000"/>
          <w:kern w:val="0"/>
          <w:sz w:val="24"/>
          <w:lang w:bidi="ar"/>
        </w:rPr>
        <w:t xml:space="preserve">Supplementary File </w:t>
      </w:r>
      <w:r>
        <w:rPr>
          <w:rFonts w:ascii="Times New Roman" w:eastAsia="Helvetica" w:hAnsi="Times New Roman" w:cs="Times New Roman" w:hint="eastAsia"/>
          <w:b/>
          <w:color w:val="000000"/>
          <w:kern w:val="0"/>
          <w:sz w:val="24"/>
          <w:lang w:bidi="ar"/>
        </w:rPr>
        <w:t>1</w:t>
      </w:r>
      <w:r>
        <w:rPr>
          <w:rFonts w:ascii="Times New Roman" w:eastAsia="Helvetica" w:hAnsi="Times New Roman" w:cs="Times New Roman"/>
          <w:bCs/>
          <w:color w:val="000000"/>
          <w:kern w:val="0"/>
          <w:sz w:val="24"/>
          <w:lang w:bidi="ar"/>
        </w:rPr>
        <w:t>. Institutional catalogue of surgical procedures for which PCA is routinely recommended</w:t>
      </w:r>
    </w:p>
    <w:tbl>
      <w:tblPr>
        <w:tblW w:w="0" w:type="auto"/>
        <w:tblBorders>
          <w:top w:val="single" w:sz="6" w:space="0" w:color="DFE2E5"/>
          <w:left w:val="single" w:sz="2" w:space="0" w:color="E5E7EB"/>
          <w:bottom w:val="single" w:sz="2" w:space="0" w:color="E5E7EB"/>
          <w:right w:val="single" w:sz="2" w:space="0" w:color="E5E7EB"/>
        </w:tblBorders>
        <w:shd w:val="clear" w:color="auto" w:fill="FFFFFF"/>
        <w:tblCellMar>
          <w:top w:w="15" w:type="dxa"/>
          <w:left w:w="15" w:type="dxa"/>
          <w:bottom w:w="15" w:type="dxa"/>
          <w:right w:w="15" w:type="dxa"/>
        </w:tblCellMar>
        <w:tblLook w:val="04A0" w:firstRow="1" w:lastRow="0" w:firstColumn="1" w:lastColumn="0" w:noHBand="0" w:noVBand="1"/>
      </w:tblPr>
      <w:tblGrid>
        <w:gridCol w:w="2349"/>
        <w:gridCol w:w="6377"/>
      </w:tblGrid>
      <w:tr w:rsidR="004106EA" w14:paraId="69AD28A5" w14:textId="77777777">
        <w:tc>
          <w:tcPr>
            <w:tcW w:w="0" w:type="auto"/>
            <w:tcBorders>
              <w:top w:val="single" w:sz="4" w:space="0" w:color="auto"/>
              <w:left w:val="nil"/>
              <w:bottom w:val="single" w:sz="4" w:space="0" w:color="auto"/>
              <w:right w:val="nil"/>
              <w:tl2br w:val="nil"/>
            </w:tcBorders>
            <w:shd w:val="clear" w:color="auto" w:fill="FFFFFF"/>
            <w:tcMar>
              <w:top w:w="126" w:type="dxa"/>
              <w:left w:w="210" w:type="dxa"/>
              <w:bottom w:w="126" w:type="dxa"/>
              <w:right w:w="210" w:type="dxa"/>
            </w:tcMar>
            <w:vAlign w:val="center"/>
          </w:tcPr>
          <w:p w14:paraId="1C6C5CF4" w14:textId="77777777" w:rsidR="004106EA" w:rsidRDefault="00000000">
            <w:pPr>
              <w:widowControl/>
              <w:jc w:val="left"/>
              <w:rPr>
                <w:rFonts w:ascii="Times New Roman" w:eastAsia="Helvetica" w:hAnsi="Times New Roman" w:cs="Times New Roman"/>
                <w:bCs/>
                <w:color w:val="000000"/>
                <w:sz w:val="24"/>
              </w:rPr>
            </w:pPr>
            <w:r>
              <w:rPr>
                <w:rFonts w:ascii="Times New Roman" w:eastAsia="Helvetica" w:hAnsi="Times New Roman" w:cs="Times New Roman"/>
                <w:bCs/>
                <w:color w:val="000000"/>
                <w:kern w:val="0"/>
                <w:sz w:val="24"/>
                <w:lang w:bidi="ar"/>
              </w:rPr>
              <w:t>Surgical Specialty</w:t>
            </w:r>
          </w:p>
        </w:tc>
        <w:tc>
          <w:tcPr>
            <w:tcW w:w="0" w:type="auto"/>
            <w:tcBorders>
              <w:top w:val="single" w:sz="4" w:space="0" w:color="auto"/>
              <w:left w:val="nil"/>
              <w:bottom w:val="single" w:sz="4" w:space="0" w:color="auto"/>
              <w:right w:val="nil"/>
            </w:tcBorders>
            <w:shd w:val="clear" w:color="auto" w:fill="FFFFFF"/>
            <w:tcMar>
              <w:top w:w="126" w:type="dxa"/>
              <w:left w:w="210" w:type="dxa"/>
              <w:bottom w:w="126" w:type="dxa"/>
              <w:right w:w="210" w:type="dxa"/>
            </w:tcMar>
            <w:vAlign w:val="center"/>
          </w:tcPr>
          <w:p w14:paraId="1809F59F" w14:textId="77777777" w:rsidR="004106EA" w:rsidRDefault="00000000">
            <w:pPr>
              <w:widowControl/>
              <w:jc w:val="left"/>
              <w:rPr>
                <w:rFonts w:ascii="Times New Roman" w:eastAsia="Helvetica" w:hAnsi="Times New Roman" w:cs="Times New Roman"/>
                <w:bCs/>
                <w:color w:val="000000"/>
                <w:sz w:val="24"/>
              </w:rPr>
            </w:pPr>
            <w:r>
              <w:rPr>
                <w:rFonts w:ascii="Times New Roman" w:eastAsia="Helvetica" w:hAnsi="Times New Roman" w:cs="Times New Roman"/>
                <w:bCs/>
                <w:color w:val="000000"/>
                <w:kern w:val="0"/>
                <w:sz w:val="24"/>
                <w:lang w:bidi="ar"/>
              </w:rPr>
              <w:t>Procedures Included</w:t>
            </w:r>
          </w:p>
        </w:tc>
      </w:tr>
      <w:tr w:rsidR="004106EA" w14:paraId="76FDD175" w14:textId="77777777">
        <w:tc>
          <w:tcPr>
            <w:tcW w:w="0" w:type="auto"/>
            <w:tcBorders>
              <w:top w:val="single" w:sz="4" w:space="0" w:color="auto"/>
              <w:left w:val="nil"/>
              <w:bottom w:val="nil"/>
              <w:right w:val="nil"/>
            </w:tcBorders>
            <w:shd w:val="clear" w:color="auto" w:fill="FFFFFF"/>
            <w:tcMar>
              <w:top w:w="126" w:type="dxa"/>
              <w:left w:w="210" w:type="dxa"/>
              <w:bottom w:w="126" w:type="dxa"/>
              <w:right w:w="210" w:type="dxa"/>
            </w:tcMar>
            <w:vAlign w:val="center"/>
          </w:tcPr>
          <w:p w14:paraId="209A1A11"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General Surgery</w:t>
            </w:r>
          </w:p>
        </w:tc>
        <w:tc>
          <w:tcPr>
            <w:tcW w:w="0" w:type="auto"/>
            <w:tcBorders>
              <w:top w:val="single" w:sz="4" w:space="0" w:color="auto"/>
              <w:left w:val="nil"/>
              <w:bottom w:val="nil"/>
              <w:right w:val="nil"/>
            </w:tcBorders>
            <w:shd w:val="clear" w:color="auto" w:fill="FFFFFF"/>
            <w:tcMar>
              <w:top w:w="126" w:type="dxa"/>
              <w:left w:w="210" w:type="dxa"/>
              <w:bottom w:w="126" w:type="dxa"/>
              <w:right w:w="210" w:type="dxa"/>
            </w:tcMar>
            <w:vAlign w:val="center"/>
          </w:tcPr>
          <w:p w14:paraId="5EAF95CC" w14:textId="4EE64184"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Open abdominal surgery, open thoracic surgery; resection of lesions of the liver, gallbladder, pancreas, spleen, kidney, esophagus, stomach, or intestine</w:t>
            </w:r>
          </w:p>
        </w:tc>
      </w:tr>
      <w:tr w:rsidR="004106EA" w14:paraId="18D2EDD8"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50AA0D46"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Orthopedic Surgery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7CD4D087"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Open reduction and internal fixation of all fractures; joint replacement surgery; rotator cuff repair; arthroscopic meniscectomy and ligament reconstruction; thoracolumbar discectomy, decompression, and fusion; intraspinal tumor resection</w:t>
            </w:r>
          </w:p>
        </w:tc>
      </w:tr>
      <w:tr w:rsidR="004106EA" w14:paraId="4FBD1F11"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65C3D396"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 xml:space="preserve">Obstetrics </w:t>
            </w:r>
            <w:r>
              <w:rPr>
                <w:rFonts w:ascii="Times New Roman" w:eastAsia="宋体" w:hAnsi="Times New Roman" w:cs="Times New Roman" w:hint="eastAsia"/>
                <w:color w:val="000000"/>
                <w:sz w:val="24"/>
              </w:rPr>
              <w:t xml:space="preserve">and </w:t>
            </w:r>
            <w:r>
              <w:rPr>
                <w:rFonts w:ascii="Times New Roman" w:eastAsia="Helvetica" w:hAnsi="Times New Roman" w:cs="Times New Roman"/>
                <w:color w:val="000000"/>
                <w:sz w:val="24"/>
              </w:rPr>
              <w:t>Gynecology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28CDAB8A"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Cesarean section; gynecological hysterectomy, oophorectomy, and malignant tumor surgery; radical mastectomy; breast reconstruction</w:t>
            </w:r>
          </w:p>
        </w:tc>
      </w:tr>
      <w:tr w:rsidR="004106EA" w14:paraId="3B5F59D8"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417979D7"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Urological Surgery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0B93B9D1"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Radical surgery for renal, ureteral, prostate, and bladder cancer; nephrectomy; ureterectomy</w:t>
            </w:r>
          </w:p>
        </w:tc>
      </w:tr>
      <w:tr w:rsidR="004106EA" w14:paraId="42F051F0"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577228D3"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Anorectal Surgery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36F049DA"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Anal fistula, perianal abscess, and hemorrhoidectomy</w:t>
            </w:r>
          </w:p>
        </w:tc>
      </w:tr>
      <w:tr w:rsidR="004106EA" w14:paraId="5E8AFFD7"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0EDDC137"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Neurosurgery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363FE065"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Facial nerve microvascular decompression; repair of skull defect</w:t>
            </w:r>
          </w:p>
        </w:tc>
      </w:tr>
      <w:tr w:rsidR="004106EA" w14:paraId="0DB677A7" w14:textId="77777777">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38ED7509"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Thoracic Surgery</w:t>
            </w:r>
          </w:p>
        </w:tc>
        <w:tc>
          <w:tcPr>
            <w:tcW w:w="0" w:type="auto"/>
            <w:tcBorders>
              <w:top w:val="nil"/>
              <w:left w:val="nil"/>
              <w:bottom w:val="nil"/>
              <w:right w:val="nil"/>
            </w:tcBorders>
            <w:shd w:val="clear" w:color="auto" w:fill="FFFFFF"/>
            <w:tcMar>
              <w:top w:w="126" w:type="dxa"/>
              <w:left w:w="210" w:type="dxa"/>
              <w:bottom w:w="126" w:type="dxa"/>
              <w:right w:w="210" w:type="dxa"/>
            </w:tcMar>
            <w:vAlign w:val="center"/>
          </w:tcPr>
          <w:p w14:paraId="5A4E408E"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Video</w:t>
            </w:r>
            <w:r>
              <w:rPr>
                <w:rFonts w:ascii="Times New Roman" w:eastAsia="Helvetica" w:hAnsi="Times New Roman" w:cs="Times New Roman"/>
                <w:color w:val="000000"/>
                <w:kern w:val="0"/>
                <w:sz w:val="24"/>
                <w:lang w:bidi="ar"/>
              </w:rPr>
              <w:noBreakHyphen/>
              <w:t>assisted thoracoscopic surgery for pulmonary bullae, pulmonary lesions, and mediastinal lesion resection; pectus excavatum repair</w:t>
            </w:r>
          </w:p>
        </w:tc>
      </w:tr>
      <w:tr w:rsidR="004106EA" w14:paraId="58242ADD" w14:textId="77777777">
        <w:tc>
          <w:tcPr>
            <w:tcW w:w="0" w:type="auto"/>
            <w:tcBorders>
              <w:top w:val="nil"/>
              <w:left w:val="nil"/>
              <w:bottom w:val="single" w:sz="4" w:space="0" w:color="auto"/>
              <w:right w:val="nil"/>
            </w:tcBorders>
            <w:shd w:val="clear" w:color="auto" w:fill="FFFFFF"/>
            <w:tcMar>
              <w:top w:w="126" w:type="dxa"/>
              <w:left w:w="210" w:type="dxa"/>
              <w:bottom w:w="126" w:type="dxa"/>
              <w:right w:w="210" w:type="dxa"/>
            </w:tcMar>
            <w:vAlign w:val="center"/>
          </w:tcPr>
          <w:p w14:paraId="3B758B7A"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sz w:val="24"/>
              </w:rPr>
              <w:t xml:space="preserve">Otolaryngology / Head </w:t>
            </w:r>
            <w:r>
              <w:rPr>
                <w:rFonts w:ascii="Times New Roman" w:eastAsia="宋体" w:hAnsi="Times New Roman" w:cs="Times New Roman" w:hint="eastAsia"/>
                <w:color w:val="000000"/>
                <w:sz w:val="24"/>
              </w:rPr>
              <w:t>and</w:t>
            </w:r>
            <w:r>
              <w:rPr>
                <w:rFonts w:ascii="Times New Roman" w:eastAsia="Helvetica" w:hAnsi="Times New Roman" w:cs="Times New Roman"/>
                <w:color w:val="000000"/>
                <w:sz w:val="24"/>
              </w:rPr>
              <w:t xml:space="preserve"> Neck Surgery</w:t>
            </w:r>
          </w:p>
        </w:tc>
        <w:tc>
          <w:tcPr>
            <w:tcW w:w="0" w:type="auto"/>
            <w:tcBorders>
              <w:top w:val="nil"/>
              <w:left w:val="nil"/>
              <w:bottom w:val="single" w:sz="4" w:space="0" w:color="auto"/>
              <w:right w:val="nil"/>
            </w:tcBorders>
            <w:shd w:val="clear" w:color="auto" w:fill="FFFFFF"/>
            <w:tcMar>
              <w:top w:w="126" w:type="dxa"/>
              <w:left w:w="210" w:type="dxa"/>
              <w:bottom w:w="126" w:type="dxa"/>
              <w:right w:w="210" w:type="dxa"/>
            </w:tcMar>
            <w:vAlign w:val="center"/>
          </w:tcPr>
          <w:p w14:paraId="03736D5D" w14:textId="77777777" w:rsidR="004106EA" w:rsidRDefault="00000000">
            <w:pPr>
              <w:widowControl/>
              <w:jc w:val="left"/>
              <w:rPr>
                <w:rFonts w:ascii="Times New Roman" w:eastAsia="Helvetica" w:hAnsi="Times New Roman" w:cs="Times New Roman"/>
                <w:color w:val="000000"/>
                <w:sz w:val="24"/>
              </w:rPr>
            </w:pPr>
            <w:r>
              <w:rPr>
                <w:rFonts w:ascii="Times New Roman" w:eastAsia="Helvetica" w:hAnsi="Times New Roman" w:cs="Times New Roman"/>
                <w:color w:val="000000"/>
                <w:kern w:val="0"/>
                <w:sz w:val="24"/>
                <w:lang w:bidi="ar"/>
              </w:rPr>
              <w:t>Adenotonsillectomy; nasal septal surgery; uvulopalatopharyngoplasty</w:t>
            </w:r>
          </w:p>
        </w:tc>
      </w:tr>
    </w:tbl>
    <w:p w14:paraId="3FF395AD" w14:textId="77777777" w:rsidR="004106EA" w:rsidRDefault="00000000">
      <w:pPr>
        <w:rPr>
          <w:rFonts w:ascii="Times New Roman" w:hAnsi="Times New Roman" w:cs="Times New Roman"/>
          <w:sz w:val="24"/>
        </w:rPr>
      </w:pPr>
      <w:r>
        <w:rPr>
          <w:rFonts w:ascii="Times New Roman" w:hAnsi="Times New Roman" w:cs="Times New Roman"/>
          <w:sz w:val="24"/>
        </w:rPr>
        <w:t>This catalogue was developed by the Department of Anesthesiology and Perioperative Medicine at Zhengzhou Central Hospital Affiliated to Zhengzhou University through multidisciplinary consensus, drawing on national and international expert consensus and historical pain outcomes. All procedures listed below are expected to result in moderate</w:t>
      </w:r>
      <w:r>
        <w:rPr>
          <w:rFonts w:ascii="Times New Roman" w:hAnsi="Times New Roman" w:cs="Times New Roman"/>
          <w:sz w:val="24"/>
        </w:rPr>
        <w:noBreakHyphen/>
        <w:t>to</w:t>
      </w:r>
      <w:r>
        <w:rPr>
          <w:rFonts w:ascii="Times New Roman" w:hAnsi="Times New Roman" w:cs="Times New Roman"/>
          <w:sz w:val="24"/>
        </w:rPr>
        <w:noBreakHyphen/>
        <w:t>severe postoperative pain (Numeric Rating Scale score ≥4) and thus constitute the standard indications for recommending patient</w:t>
      </w:r>
      <w:r>
        <w:rPr>
          <w:rFonts w:ascii="Times New Roman" w:hAnsi="Times New Roman" w:cs="Times New Roman"/>
          <w:sz w:val="24"/>
        </w:rPr>
        <w:noBreakHyphen/>
        <w:t>controlled analgesia at our institution.</w:t>
      </w:r>
    </w:p>
    <w:sectPr w:rsidR="004106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6EA"/>
    <w:rsid w:val="004106EA"/>
    <w:rsid w:val="0060153B"/>
    <w:rsid w:val="00B26DD3"/>
    <w:rsid w:val="150F0169"/>
    <w:rsid w:val="18594DB1"/>
    <w:rsid w:val="194D3FC3"/>
    <w:rsid w:val="676E292D"/>
    <w:rsid w:val="7726029C"/>
    <w:rsid w:val="7CAF2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764E4"/>
  <w15:docId w15:val="{2DBB7538-8817-4F92-903A-3AC1018D8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205</Words>
  <Characters>1571</Characters>
  <Application>Microsoft Office Word</Application>
  <DocSecurity>0</DocSecurity>
  <Lines>43</Lines>
  <Paragraphs>21</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Guanyu Yang</cp:lastModifiedBy>
  <cp:revision>2</cp:revision>
  <cp:lastPrinted>2026-06-15T00:38:00Z</cp:lastPrinted>
  <dcterms:created xsi:type="dcterms:W3CDTF">2026-06-12T03:21:00Z</dcterms:created>
  <dcterms:modified xsi:type="dcterms:W3CDTF">2026-06-15T00:39:00Z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eyJoZGlkIjoiN2Q3MDI2NzhkNTE4NjlmNzdiZGU0ZDYzYWMzZDlkYzgiLCJ1c2VySWQiOiIxNTc5Mjc1NjE5In0=</vt:lpwstr>
  </property>
  <property fmtid="{D5CDD505-2E9C-101B-9397-08002B2CF9AE}" pid="4" name="ICV">
    <vt:lpwstr>CD88EB8075A24E83A0C1FEA893EA4A2C_12</vt:lpwstr>
  </property>
</Properties>
</file>